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D53" w:rsidRDefault="007B6D53" w:rsidP="007B6D53">
      <w:pPr>
        <w:pStyle w:val="a7"/>
        <w:spacing w:line="360" w:lineRule="auto"/>
        <w:ind w:left="420" w:firstLineChars="0" w:firstLine="0"/>
        <w:jc w:val="center"/>
        <w:rPr>
          <w:rFonts w:ascii="仿宋" w:eastAsia="仿宋" w:hAnsi="仿宋"/>
          <w:b/>
          <w:sz w:val="32"/>
          <w:szCs w:val="32"/>
        </w:rPr>
      </w:pPr>
      <w:r w:rsidRPr="00153210">
        <w:rPr>
          <w:rFonts w:ascii="仿宋" w:eastAsia="仿宋" w:hAnsi="仿宋" w:hint="eastAsia"/>
          <w:b/>
          <w:sz w:val="32"/>
          <w:szCs w:val="32"/>
        </w:rPr>
        <w:t>关于《复旦大学学位授予工作细则》的</w:t>
      </w:r>
      <w:r>
        <w:rPr>
          <w:rFonts w:ascii="仿宋" w:eastAsia="仿宋" w:hAnsi="仿宋" w:hint="eastAsia"/>
          <w:b/>
          <w:sz w:val="32"/>
          <w:szCs w:val="32"/>
        </w:rPr>
        <w:t>主要</w:t>
      </w:r>
      <w:r w:rsidRPr="00153210">
        <w:rPr>
          <w:rFonts w:ascii="仿宋" w:eastAsia="仿宋" w:hAnsi="仿宋" w:hint="eastAsia"/>
          <w:b/>
          <w:sz w:val="32"/>
          <w:szCs w:val="32"/>
        </w:rPr>
        <w:t>修订说明</w:t>
      </w:r>
    </w:p>
    <w:p w:rsidR="007B6D53" w:rsidRDefault="007B6D53" w:rsidP="007B6D53">
      <w:pPr>
        <w:pStyle w:val="a7"/>
        <w:spacing w:line="360" w:lineRule="auto"/>
        <w:ind w:left="420" w:firstLineChars="0" w:firstLine="0"/>
        <w:jc w:val="center"/>
        <w:rPr>
          <w:rFonts w:ascii="仿宋" w:eastAsia="仿宋" w:hAnsi="仿宋"/>
          <w:b/>
          <w:sz w:val="28"/>
          <w:szCs w:val="32"/>
        </w:rPr>
      </w:pPr>
    </w:p>
    <w:p w:rsidR="007B6D53" w:rsidRPr="00835759" w:rsidRDefault="007B6D53" w:rsidP="007B6D53">
      <w:pPr>
        <w:pStyle w:val="a7"/>
        <w:spacing w:beforeLines="50" w:before="156" w:line="400" w:lineRule="exact"/>
        <w:ind w:firstLineChars="177" w:firstLine="426"/>
        <w:rPr>
          <w:sz w:val="24"/>
          <w:szCs w:val="24"/>
        </w:rPr>
      </w:pPr>
      <w:r w:rsidRPr="00467E5B">
        <w:rPr>
          <w:rFonts w:hint="eastAsia"/>
          <w:b/>
          <w:sz w:val="24"/>
          <w:szCs w:val="24"/>
        </w:rPr>
        <w:t>一、</w:t>
      </w:r>
      <w:r w:rsidRPr="00C60CCB">
        <w:rPr>
          <w:rFonts w:hint="eastAsia"/>
          <w:b/>
          <w:sz w:val="24"/>
          <w:szCs w:val="24"/>
        </w:rPr>
        <w:t>明确将专业学位的授予工作纳入文件内容</w:t>
      </w:r>
      <w:r>
        <w:rPr>
          <w:rFonts w:hint="eastAsia"/>
          <w:b/>
          <w:sz w:val="24"/>
          <w:szCs w:val="24"/>
        </w:rPr>
        <w:t>。</w:t>
      </w:r>
      <w:r>
        <w:rPr>
          <w:rFonts w:hint="eastAsia"/>
          <w:sz w:val="24"/>
          <w:szCs w:val="24"/>
        </w:rPr>
        <w:t>中华人民共和国学位条例以及中华人民共和国学位条例暂行实施办法由于制订时间较早，当时还未出现专业学位的学位授予工作。我校</w:t>
      </w:r>
      <w:r w:rsidRPr="00AD0FEA">
        <w:rPr>
          <w:rFonts w:hint="eastAsia"/>
          <w:sz w:val="24"/>
          <w:szCs w:val="24"/>
        </w:rPr>
        <w:t>以往的学位授予工作细则</w:t>
      </w:r>
      <w:r>
        <w:rPr>
          <w:rFonts w:hint="eastAsia"/>
          <w:sz w:val="24"/>
          <w:szCs w:val="24"/>
        </w:rPr>
        <w:t>也</w:t>
      </w:r>
      <w:r w:rsidRPr="00AD0FEA">
        <w:rPr>
          <w:rFonts w:hint="eastAsia"/>
          <w:sz w:val="24"/>
          <w:szCs w:val="24"/>
        </w:rPr>
        <w:t>没有专门提及关于专业学位的问题，考虑</w:t>
      </w:r>
      <w:r>
        <w:rPr>
          <w:rFonts w:hint="eastAsia"/>
          <w:sz w:val="24"/>
          <w:szCs w:val="24"/>
        </w:rPr>
        <w:t>目前</w:t>
      </w:r>
      <w:r w:rsidRPr="00AD0FEA">
        <w:rPr>
          <w:rFonts w:hint="eastAsia"/>
          <w:sz w:val="24"/>
          <w:szCs w:val="24"/>
        </w:rPr>
        <w:t>专业学位在我校</w:t>
      </w:r>
      <w:r>
        <w:rPr>
          <w:rFonts w:hint="eastAsia"/>
          <w:sz w:val="24"/>
          <w:szCs w:val="24"/>
        </w:rPr>
        <w:t>研究生教育</w:t>
      </w:r>
      <w:r w:rsidRPr="00AD0FEA">
        <w:rPr>
          <w:rFonts w:hint="eastAsia"/>
          <w:sz w:val="24"/>
          <w:szCs w:val="24"/>
        </w:rPr>
        <w:t>人才培养的比重逐年上升，有必要在学位授予工作细则中体现出专业学位的</w:t>
      </w:r>
      <w:r>
        <w:rPr>
          <w:rFonts w:hint="eastAsia"/>
          <w:sz w:val="24"/>
          <w:szCs w:val="24"/>
        </w:rPr>
        <w:t>相关</w:t>
      </w:r>
      <w:r w:rsidRPr="00AD0FEA">
        <w:rPr>
          <w:rFonts w:hint="eastAsia"/>
          <w:sz w:val="24"/>
          <w:szCs w:val="24"/>
        </w:rPr>
        <w:t>内容。</w:t>
      </w:r>
      <w:r>
        <w:rPr>
          <w:rFonts w:hint="eastAsia"/>
          <w:sz w:val="24"/>
          <w:szCs w:val="24"/>
        </w:rPr>
        <w:t>（见第二条、</w:t>
      </w:r>
      <w:r w:rsidRPr="00835759">
        <w:rPr>
          <w:rFonts w:hint="eastAsia"/>
          <w:sz w:val="24"/>
          <w:szCs w:val="24"/>
        </w:rPr>
        <w:t>第十一条、第十八条</w:t>
      </w:r>
      <w:r>
        <w:rPr>
          <w:rFonts w:hint="eastAsia"/>
          <w:sz w:val="24"/>
          <w:szCs w:val="24"/>
        </w:rPr>
        <w:t>）</w:t>
      </w:r>
    </w:p>
    <w:p w:rsidR="007B6D53" w:rsidRPr="00835759" w:rsidRDefault="007B6D53" w:rsidP="007B6D53">
      <w:pPr>
        <w:spacing w:beforeLines="50" w:before="156" w:line="400" w:lineRule="exact"/>
        <w:ind w:firstLineChars="177" w:firstLine="426"/>
        <w:rPr>
          <w:sz w:val="24"/>
          <w:szCs w:val="24"/>
        </w:rPr>
      </w:pPr>
      <w:r w:rsidRPr="00467E5B">
        <w:rPr>
          <w:rFonts w:ascii="宋体" w:hAnsi="宋体" w:cs="Times New Roman" w:hint="eastAsia"/>
          <w:b/>
          <w:bCs/>
          <w:sz w:val="24"/>
          <w:szCs w:val="24"/>
        </w:rPr>
        <w:t>二、将</w:t>
      </w:r>
      <w:r w:rsidRPr="00CE151F">
        <w:rPr>
          <w:rFonts w:ascii="宋体" w:hAnsi="宋体" w:cs="Times New Roman" w:hint="eastAsia"/>
          <w:b/>
          <w:bCs/>
          <w:sz w:val="24"/>
          <w:szCs w:val="24"/>
        </w:rPr>
        <w:t>同等学力申请硕士、博士学位的论文要求、论文评阅及论文答辩的要求及程序等内容与相应学位的研究生作统一规定</w:t>
      </w:r>
      <w:r w:rsidRPr="00835759">
        <w:rPr>
          <w:rFonts w:ascii="宋体" w:hAnsi="宋体" w:cs="Times New Roman" w:hint="eastAsia"/>
          <w:bCs/>
          <w:sz w:val="24"/>
          <w:szCs w:val="24"/>
        </w:rPr>
        <w:t>（</w:t>
      </w:r>
      <w:r>
        <w:rPr>
          <w:rFonts w:ascii="宋体" w:hAnsi="宋体" w:cs="Times New Roman" w:hint="eastAsia"/>
          <w:bCs/>
          <w:sz w:val="24"/>
          <w:szCs w:val="24"/>
        </w:rPr>
        <w:t>见第十一条、第十三条、第十四条、第十八条、第二十条、第二十一条</w:t>
      </w:r>
      <w:r w:rsidRPr="00835759">
        <w:rPr>
          <w:rFonts w:ascii="宋体" w:hAnsi="宋体" w:cs="Times New Roman" w:hint="eastAsia"/>
          <w:bCs/>
          <w:sz w:val="24"/>
          <w:szCs w:val="24"/>
        </w:rPr>
        <w:t>）</w:t>
      </w:r>
      <w:r>
        <w:rPr>
          <w:rFonts w:ascii="宋体" w:hAnsi="宋体" w:cs="Times New Roman" w:hint="eastAsia"/>
          <w:bCs/>
          <w:sz w:val="24"/>
          <w:szCs w:val="24"/>
        </w:rPr>
        <w:t>。同时废止</w:t>
      </w:r>
      <w:r w:rsidRPr="00CE151F">
        <w:rPr>
          <w:rFonts w:ascii="宋体" w:hAnsi="宋体" w:cs="Times New Roman" w:hint="eastAsia"/>
          <w:bCs/>
          <w:sz w:val="24"/>
          <w:szCs w:val="24"/>
        </w:rPr>
        <w:t>《复旦大学关于授予具有研究生毕业同等学力人员硕士、博士学位工作细则》</w:t>
      </w:r>
      <w:r>
        <w:rPr>
          <w:rFonts w:ascii="宋体" w:hAnsi="宋体" w:cs="Times New Roman" w:hint="eastAsia"/>
          <w:bCs/>
          <w:sz w:val="24"/>
          <w:szCs w:val="24"/>
        </w:rPr>
        <w:t>，</w:t>
      </w:r>
      <w:r w:rsidRPr="00184128">
        <w:rPr>
          <w:rFonts w:ascii="宋体" w:hAnsi="宋体" w:cs="Times New Roman" w:hint="eastAsia"/>
          <w:bCs/>
          <w:sz w:val="24"/>
          <w:szCs w:val="24"/>
        </w:rPr>
        <w:t>同等学力申请学位的具体工作</w:t>
      </w:r>
      <w:r w:rsidRPr="00184128">
        <w:rPr>
          <w:rFonts w:ascii="宋体" w:hAnsi="宋体" w:hint="eastAsia"/>
          <w:sz w:val="24"/>
        </w:rPr>
        <w:t>程序另行制订。</w:t>
      </w:r>
      <w:r>
        <w:rPr>
          <w:rFonts w:ascii="宋体" w:hAnsi="宋体" w:hint="eastAsia"/>
          <w:sz w:val="24"/>
        </w:rPr>
        <w:t>（见第三十四条）</w:t>
      </w:r>
    </w:p>
    <w:p w:rsidR="007B6D53" w:rsidRPr="00AD0FEA" w:rsidRDefault="007B6D53" w:rsidP="007B6D53">
      <w:pPr>
        <w:spacing w:beforeLines="50" w:before="156" w:line="400" w:lineRule="exact"/>
        <w:ind w:firstLineChars="200" w:firstLine="482"/>
        <w:rPr>
          <w:sz w:val="24"/>
          <w:szCs w:val="24"/>
        </w:rPr>
      </w:pPr>
      <w:r>
        <w:rPr>
          <w:rFonts w:hint="eastAsia"/>
          <w:b/>
          <w:sz w:val="24"/>
          <w:szCs w:val="24"/>
        </w:rPr>
        <w:t>三</w:t>
      </w:r>
      <w:r w:rsidRPr="00467E5B">
        <w:rPr>
          <w:rFonts w:hint="eastAsia"/>
          <w:b/>
          <w:sz w:val="24"/>
          <w:szCs w:val="24"/>
        </w:rPr>
        <w:t>、</w:t>
      </w:r>
      <w:r w:rsidRPr="00C60CCB">
        <w:rPr>
          <w:rFonts w:hint="eastAsia"/>
          <w:b/>
          <w:sz w:val="24"/>
          <w:szCs w:val="24"/>
        </w:rPr>
        <w:t>将学位</w:t>
      </w:r>
      <w:r>
        <w:rPr>
          <w:rFonts w:hint="eastAsia"/>
          <w:b/>
          <w:sz w:val="24"/>
          <w:szCs w:val="24"/>
        </w:rPr>
        <w:t>评定</w:t>
      </w:r>
      <w:r w:rsidRPr="00C60CCB">
        <w:rPr>
          <w:rFonts w:hint="eastAsia"/>
          <w:b/>
          <w:sz w:val="24"/>
          <w:szCs w:val="24"/>
        </w:rPr>
        <w:t>委员会</w:t>
      </w:r>
      <w:r>
        <w:rPr>
          <w:rFonts w:hint="eastAsia"/>
          <w:b/>
          <w:sz w:val="24"/>
          <w:szCs w:val="24"/>
        </w:rPr>
        <w:t>的</w:t>
      </w:r>
      <w:r w:rsidRPr="00C60CCB">
        <w:rPr>
          <w:rFonts w:hint="eastAsia"/>
          <w:b/>
          <w:sz w:val="24"/>
          <w:szCs w:val="24"/>
        </w:rPr>
        <w:t>相关内容大幅精简</w:t>
      </w:r>
      <w:r w:rsidRPr="00D731CE">
        <w:rPr>
          <w:rFonts w:hint="eastAsia"/>
          <w:sz w:val="24"/>
          <w:szCs w:val="24"/>
        </w:rPr>
        <w:t>，</w:t>
      </w:r>
      <w:r w:rsidRPr="00AD0FEA">
        <w:rPr>
          <w:rFonts w:hint="eastAsia"/>
          <w:sz w:val="24"/>
          <w:szCs w:val="24"/>
        </w:rPr>
        <w:t>主要提及组织机构和会议审议及表决方式等，</w:t>
      </w:r>
      <w:r>
        <w:rPr>
          <w:rFonts w:hint="eastAsia"/>
          <w:sz w:val="24"/>
          <w:szCs w:val="24"/>
        </w:rPr>
        <w:t>有关学位评定委员会的</w:t>
      </w:r>
      <w:r w:rsidRPr="00AD0FEA">
        <w:rPr>
          <w:rFonts w:hint="eastAsia"/>
          <w:sz w:val="24"/>
          <w:szCs w:val="24"/>
        </w:rPr>
        <w:t>具体内容</w:t>
      </w:r>
      <w:r>
        <w:rPr>
          <w:rFonts w:hint="eastAsia"/>
          <w:sz w:val="24"/>
          <w:szCs w:val="24"/>
        </w:rPr>
        <w:t>详见</w:t>
      </w:r>
      <w:r w:rsidRPr="00AD0FEA">
        <w:rPr>
          <w:rFonts w:hint="eastAsia"/>
          <w:sz w:val="24"/>
          <w:szCs w:val="24"/>
        </w:rPr>
        <w:t>《复旦大学学位评定委员会章程》。</w:t>
      </w:r>
      <w:r>
        <w:rPr>
          <w:rFonts w:hint="eastAsia"/>
          <w:sz w:val="24"/>
          <w:szCs w:val="24"/>
        </w:rPr>
        <w:t>（见第四条、第五条、第六条）</w:t>
      </w:r>
    </w:p>
    <w:p w:rsidR="007B6D53" w:rsidRDefault="007B6D53" w:rsidP="007B6D53">
      <w:pPr>
        <w:pStyle w:val="a7"/>
        <w:spacing w:beforeLines="50" w:before="156" w:line="400" w:lineRule="exact"/>
        <w:ind w:firstLineChars="0" w:firstLine="480"/>
        <w:rPr>
          <w:sz w:val="24"/>
          <w:szCs w:val="24"/>
        </w:rPr>
      </w:pPr>
      <w:r w:rsidRPr="00467E5B">
        <w:rPr>
          <w:rFonts w:hint="eastAsia"/>
          <w:b/>
          <w:sz w:val="24"/>
          <w:szCs w:val="24"/>
        </w:rPr>
        <w:t>四、</w:t>
      </w:r>
      <w:r w:rsidRPr="00006C0C">
        <w:rPr>
          <w:rFonts w:hint="eastAsia"/>
          <w:b/>
          <w:sz w:val="24"/>
          <w:szCs w:val="24"/>
        </w:rPr>
        <w:t>调整关于论文评阅及答辩专家的要求。</w:t>
      </w:r>
    </w:p>
    <w:p w:rsidR="007B6D53" w:rsidRDefault="007B6D53" w:rsidP="007B6D53">
      <w:pPr>
        <w:pStyle w:val="a7"/>
        <w:numPr>
          <w:ilvl w:val="0"/>
          <w:numId w:val="1"/>
        </w:numPr>
        <w:spacing w:line="400" w:lineRule="exact"/>
        <w:ind w:left="902" w:firstLineChars="0"/>
        <w:rPr>
          <w:rFonts w:ascii="宋体" w:hAnsi="宋体" w:cs="Times New Roman"/>
          <w:bCs/>
          <w:sz w:val="24"/>
          <w:szCs w:val="24"/>
        </w:rPr>
      </w:pPr>
      <w:r>
        <w:rPr>
          <w:rFonts w:ascii="宋体" w:hAnsi="宋体" w:cs="Times New Roman" w:hint="eastAsia"/>
          <w:b/>
          <w:bCs/>
          <w:sz w:val="24"/>
          <w:szCs w:val="24"/>
        </w:rPr>
        <w:t>博士学位论文评阅人的数量由原来的5-7名调整为3-5名。</w:t>
      </w:r>
      <w:r>
        <w:rPr>
          <w:rFonts w:ascii="宋体" w:hAnsi="宋体" w:cs="Times New Roman" w:hint="eastAsia"/>
          <w:bCs/>
          <w:sz w:val="24"/>
          <w:szCs w:val="24"/>
        </w:rPr>
        <w:t>院系普遍反映每篇论文邀请3-5名评阅专家基本能满足对论文评阅的要求，在研究生招生数量较多的情况下，更多的评阅人只会增加导师或学生的经济负担。（见第二十条）</w:t>
      </w:r>
    </w:p>
    <w:p w:rsidR="007B6D53" w:rsidRDefault="007B6D53" w:rsidP="007B6D53">
      <w:pPr>
        <w:pStyle w:val="a7"/>
        <w:numPr>
          <w:ilvl w:val="0"/>
          <w:numId w:val="1"/>
        </w:numPr>
        <w:spacing w:beforeLines="50" w:before="156" w:line="400" w:lineRule="exact"/>
        <w:ind w:firstLineChars="0"/>
        <w:rPr>
          <w:sz w:val="24"/>
          <w:szCs w:val="24"/>
        </w:rPr>
      </w:pPr>
      <w:r>
        <w:rPr>
          <w:rFonts w:hint="eastAsia"/>
          <w:b/>
          <w:sz w:val="24"/>
          <w:szCs w:val="24"/>
        </w:rPr>
        <w:t>对硕士学位论文的评阅专家和答辩专家不强制要求教授参加</w:t>
      </w:r>
      <w:r w:rsidRPr="00D731CE">
        <w:rPr>
          <w:rFonts w:hint="eastAsia"/>
          <w:sz w:val="24"/>
          <w:szCs w:val="24"/>
        </w:rPr>
        <w:t>。</w:t>
      </w:r>
      <w:r w:rsidRPr="004A79DB">
        <w:rPr>
          <w:rFonts w:hint="eastAsia"/>
          <w:sz w:val="24"/>
          <w:szCs w:val="24"/>
        </w:rPr>
        <w:t>（见第十三条、第十四条）</w:t>
      </w:r>
    </w:p>
    <w:p w:rsidR="007B6D53" w:rsidRPr="00691E0F" w:rsidRDefault="007B6D53" w:rsidP="007B6D53">
      <w:pPr>
        <w:pStyle w:val="a7"/>
        <w:numPr>
          <w:ilvl w:val="0"/>
          <w:numId w:val="1"/>
        </w:numPr>
        <w:spacing w:beforeLines="50" w:before="156" w:line="400" w:lineRule="exact"/>
        <w:ind w:firstLineChars="0"/>
        <w:rPr>
          <w:b/>
          <w:sz w:val="24"/>
          <w:szCs w:val="24"/>
        </w:rPr>
      </w:pPr>
      <w:r>
        <w:rPr>
          <w:rFonts w:hint="eastAsia"/>
          <w:b/>
          <w:sz w:val="24"/>
          <w:szCs w:val="24"/>
        </w:rPr>
        <w:t>将学位论文的评阅人和答辩委员会成员的职称表述加以规范</w:t>
      </w:r>
      <w:r w:rsidRPr="00E31C9F">
        <w:rPr>
          <w:rFonts w:hint="eastAsia"/>
          <w:sz w:val="24"/>
          <w:szCs w:val="24"/>
        </w:rPr>
        <w:t>，</w:t>
      </w:r>
      <w:r>
        <w:rPr>
          <w:rFonts w:hint="eastAsia"/>
          <w:sz w:val="24"/>
          <w:szCs w:val="24"/>
        </w:rPr>
        <w:t>统一</w:t>
      </w:r>
      <w:r w:rsidRPr="00E31C9F">
        <w:rPr>
          <w:rFonts w:hint="eastAsia"/>
          <w:sz w:val="24"/>
          <w:szCs w:val="24"/>
        </w:rPr>
        <w:t>为“</w:t>
      </w:r>
      <w:r>
        <w:rPr>
          <w:rFonts w:ascii="宋体" w:hAnsi="宋体" w:hint="eastAsia"/>
          <w:bCs/>
          <w:spacing w:val="-4"/>
          <w:sz w:val="24"/>
        </w:rPr>
        <w:t>具有副教授及以上职称（或相当专业技术职务）”、“具有教授或相当专业技术职务”</w:t>
      </w:r>
      <w:r w:rsidRPr="004A79DB">
        <w:rPr>
          <w:rFonts w:ascii="宋体" w:hAnsi="宋体" w:hint="eastAsia"/>
          <w:bCs/>
          <w:sz w:val="24"/>
        </w:rPr>
        <w:t xml:space="preserve"> </w:t>
      </w:r>
      <w:r>
        <w:rPr>
          <w:rFonts w:ascii="宋体" w:hAnsi="宋体" w:hint="eastAsia"/>
          <w:bCs/>
          <w:sz w:val="24"/>
        </w:rPr>
        <w:t>或“具有中级及以上职称”。</w:t>
      </w:r>
      <w:r w:rsidRPr="004A79DB">
        <w:rPr>
          <w:rFonts w:hint="eastAsia"/>
          <w:sz w:val="24"/>
          <w:szCs w:val="24"/>
        </w:rPr>
        <w:t>（见第十三条、第十四条</w:t>
      </w:r>
      <w:r>
        <w:rPr>
          <w:rFonts w:hint="eastAsia"/>
          <w:sz w:val="24"/>
          <w:szCs w:val="24"/>
        </w:rPr>
        <w:t>、第二十条、第二十一条</w:t>
      </w:r>
      <w:r w:rsidRPr="004A79DB">
        <w:rPr>
          <w:rFonts w:hint="eastAsia"/>
          <w:sz w:val="24"/>
          <w:szCs w:val="24"/>
        </w:rPr>
        <w:t>）</w:t>
      </w:r>
    </w:p>
    <w:p w:rsidR="007B6D53" w:rsidRPr="00AD0FEA" w:rsidRDefault="007B6D53" w:rsidP="007B6D53">
      <w:pPr>
        <w:spacing w:beforeLines="50" w:before="156" w:line="400" w:lineRule="exact"/>
        <w:ind w:firstLineChars="200" w:firstLine="482"/>
        <w:rPr>
          <w:rFonts w:ascii="宋体" w:hAnsi="宋体" w:cs="Times New Roman"/>
          <w:bCs/>
          <w:sz w:val="24"/>
          <w:szCs w:val="24"/>
        </w:rPr>
      </w:pPr>
      <w:r>
        <w:rPr>
          <w:rFonts w:hint="eastAsia"/>
          <w:b/>
          <w:sz w:val="24"/>
          <w:szCs w:val="24"/>
        </w:rPr>
        <w:t>五</w:t>
      </w:r>
      <w:r w:rsidRPr="00467E5B">
        <w:rPr>
          <w:rFonts w:hint="eastAsia"/>
          <w:b/>
          <w:sz w:val="24"/>
          <w:szCs w:val="24"/>
        </w:rPr>
        <w:t>、进</w:t>
      </w:r>
      <w:r w:rsidRPr="00C60CCB">
        <w:rPr>
          <w:rFonts w:hint="eastAsia"/>
          <w:b/>
          <w:sz w:val="24"/>
          <w:szCs w:val="24"/>
        </w:rPr>
        <w:t>一步</w:t>
      </w:r>
      <w:r>
        <w:rPr>
          <w:rFonts w:hint="eastAsia"/>
          <w:b/>
          <w:sz w:val="24"/>
          <w:szCs w:val="24"/>
        </w:rPr>
        <w:t>对学位申请人及学位论文的撰写提出关于</w:t>
      </w:r>
      <w:r w:rsidRPr="00C60CCB">
        <w:rPr>
          <w:rFonts w:hint="eastAsia"/>
          <w:b/>
          <w:sz w:val="24"/>
          <w:szCs w:val="24"/>
        </w:rPr>
        <w:t>学术道德和学术规范</w:t>
      </w:r>
      <w:r>
        <w:rPr>
          <w:rFonts w:hint="eastAsia"/>
          <w:b/>
          <w:sz w:val="24"/>
          <w:szCs w:val="24"/>
        </w:rPr>
        <w:t>的</w:t>
      </w:r>
      <w:r w:rsidRPr="00C60CCB">
        <w:rPr>
          <w:rFonts w:hint="eastAsia"/>
          <w:b/>
          <w:sz w:val="24"/>
          <w:szCs w:val="24"/>
        </w:rPr>
        <w:t>要求</w:t>
      </w:r>
      <w:r w:rsidRPr="00E31C9F">
        <w:rPr>
          <w:rFonts w:hint="eastAsia"/>
          <w:sz w:val="24"/>
          <w:szCs w:val="24"/>
        </w:rPr>
        <w:t>，</w:t>
      </w:r>
      <w:r w:rsidRPr="00156D71">
        <w:rPr>
          <w:rFonts w:hint="eastAsia"/>
          <w:b/>
          <w:sz w:val="24"/>
          <w:szCs w:val="24"/>
        </w:rPr>
        <w:t>同时明确提出对学位论文本身及学位申请过程中的</w:t>
      </w:r>
      <w:r w:rsidRPr="00156D71">
        <w:rPr>
          <w:rFonts w:ascii="宋体" w:hAnsi="宋体" w:cs="Times New Roman" w:hint="eastAsia"/>
          <w:b/>
          <w:bCs/>
          <w:sz w:val="24"/>
        </w:rPr>
        <w:t>舞弊</w:t>
      </w:r>
      <w:r w:rsidRPr="00156D71">
        <w:rPr>
          <w:rFonts w:hint="eastAsia"/>
          <w:b/>
          <w:sz w:val="24"/>
          <w:szCs w:val="24"/>
        </w:rPr>
        <w:t>作假等行为进行严肃处理的规定。</w:t>
      </w:r>
      <w:r w:rsidRPr="00AD0FEA">
        <w:rPr>
          <w:rFonts w:hint="eastAsia"/>
          <w:sz w:val="24"/>
          <w:szCs w:val="24"/>
        </w:rPr>
        <w:t>（</w:t>
      </w:r>
      <w:r>
        <w:rPr>
          <w:rFonts w:hint="eastAsia"/>
          <w:sz w:val="24"/>
          <w:szCs w:val="24"/>
        </w:rPr>
        <w:t>见</w:t>
      </w:r>
      <w:r w:rsidRPr="00AD0FEA">
        <w:rPr>
          <w:rFonts w:hint="eastAsia"/>
          <w:sz w:val="24"/>
          <w:szCs w:val="24"/>
        </w:rPr>
        <w:t>第十一条，第十八条</w:t>
      </w:r>
      <w:r>
        <w:rPr>
          <w:rFonts w:hint="eastAsia"/>
          <w:sz w:val="24"/>
          <w:szCs w:val="24"/>
        </w:rPr>
        <w:t>、</w:t>
      </w:r>
      <w:r w:rsidRPr="00AD0FEA">
        <w:rPr>
          <w:rFonts w:hint="eastAsia"/>
          <w:sz w:val="24"/>
          <w:szCs w:val="24"/>
        </w:rPr>
        <w:t>第三十</w:t>
      </w:r>
      <w:r>
        <w:rPr>
          <w:rFonts w:hint="eastAsia"/>
          <w:sz w:val="24"/>
          <w:szCs w:val="24"/>
        </w:rPr>
        <w:t>四</w:t>
      </w:r>
      <w:r w:rsidRPr="00AD0FEA">
        <w:rPr>
          <w:rFonts w:hint="eastAsia"/>
          <w:sz w:val="24"/>
          <w:szCs w:val="24"/>
        </w:rPr>
        <w:t>条）</w:t>
      </w:r>
    </w:p>
    <w:p w:rsidR="007B6D53" w:rsidRDefault="007B6D53" w:rsidP="007B6D53">
      <w:pPr>
        <w:spacing w:beforeLines="50" w:before="156" w:line="400" w:lineRule="exact"/>
        <w:ind w:firstLineChars="200" w:firstLine="482"/>
        <w:rPr>
          <w:sz w:val="24"/>
          <w:szCs w:val="24"/>
        </w:rPr>
      </w:pPr>
      <w:r>
        <w:rPr>
          <w:rFonts w:hint="eastAsia"/>
          <w:b/>
          <w:sz w:val="24"/>
          <w:szCs w:val="24"/>
        </w:rPr>
        <w:lastRenderedPageBreak/>
        <w:t>六</w:t>
      </w:r>
      <w:r w:rsidRPr="00467E5B">
        <w:rPr>
          <w:rFonts w:hint="eastAsia"/>
          <w:b/>
          <w:sz w:val="24"/>
          <w:szCs w:val="24"/>
        </w:rPr>
        <w:t>、明</w:t>
      </w:r>
      <w:r w:rsidRPr="00C60CCB">
        <w:rPr>
          <w:rFonts w:hint="eastAsia"/>
          <w:b/>
          <w:sz w:val="24"/>
          <w:szCs w:val="24"/>
        </w:rPr>
        <w:t>确提出</w:t>
      </w:r>
      <w:r>
        <w:rPr>
          <w:rFonts w:hint="eastAsia"/>
          <w:b/>
          <w:sz w:val="24"/>
          <w:szCs w:val="24"/>
        </w:rPr>
        <w:t>“</w:t>
      </w:r>
      <w:r w:rsidRPr="00467E5B">
        <w:rPr>
          <w:rFonts w:hint="eastAsia"/>
          <w:b/>
          <w:sz w:val="24"/>
          <w:szCs w:val="24"/>
        </w:rPr>
        <w:t>学位申请人不得用同一篇论文（包括报告、设计、作品等其它形式）申请两个或两个以上学位。</w:t>
      </w:r>
      <w:r>
        <w:rPr>
          <w:rFonts w:hint="eastAsia"/>
          <w:b/>
          <w:sz w:val="24"/>
          <w:szCs w:val="24"/>
        </w:rPr>
        <w:t>”的要求</w:t>
      </w:r>
      <w:r w:rsidRPr="00E31C9F">
        <w:rPr>
          <w:rFonts w:hint="eastAsia"/>
          <w:sz w:val="24"/>
          <w:szCs w:val="24"/>
        </w:rPr>
        <w:t>。</w:t>
      </w:r>
      <w:r w:rsidRPr="008431DF">
        <w:rPr>
          <w:rFonts w:hint="eastAsia"/>
          <w:sz w:val="24"/>
          <w:szCs w:val="24"/>
        </w:rPr>
        <w:t>以往我校只在同等学力申请学位的工作细则中明确提出此要求，</w:t>
      </w:r>
      <w:r>
        <w:rPr>
          <w:rFonts w:hint="eastAsia"/>
          <w:sz w:val="24"/>
          <w:szCs w:val="24"/>
        </w:rPr>
        <w:t>现对修订后的学位细则作统一要求。（见第三十二条）。</w:t>
      </w:r>
    </w:p>
    <w:p w:rsidR="007B6D53" w:rsidRPr="00AD0FEA" w:rsidRDefault="007B6D53" w:rsidP="007B6D53">
      <w:pPr>
        <w:spacing w:beforeLines="50" w:before="156" w:line="400" w:lineRule="exact"/>
        <w:ind w:firstLineChars="200" w:firstLine="482"/>
        <w:rPr>
          <w:rFonts w:ascii="宋体" w:hAnsi="宋体" w:cs="Times New Roman"/>
          <w:bCs/>
          <w:sz w:val="24"/>
          <w:szCs w:val="24"/>
        </w:rPr>
      </w:pPr>
      <w:r>
        <w:rPr>
          <w:rFonts w:ascii="宋体" w:hAnsi="宋体" w:cs="Times New Roman" w:hint="eastAsia"/>
          <w:b/>
          <w:bCs/>
          <w:sz w:val="24"/>
          <w:szCs w:val="24"/>
        </w:rPr>
        <w:t>七</w:t>
      </w:r>
      <w:r w:rsidRPr="00467E5B">
        <w:rPr>
          <w:rFonts w:ascii="宋体" w:hAnsi="宋体" w:cs="Times New Roman" w:hint="eastAsia"/>
          <w:b/>
          <w:bCs/>
          <w:sz w:val="24"/>
          <w:szCs w:val="24"/>
        </w:rPr>
        <w:t>、调</w:t>
      </w:r>
      <w:r>
        <w:rPr>
          <w:rFonts w:ascii="宋体" w:hAnsi="宋体" w:cs="Times New Roman" w:hint="eastAsia"/>
          <w:b/>
          <w:bCs/>
          <w:sz w:val="24"/>
          <w:szCs w:val="24"/>
        </w:rPr>
        <w:t>整</w:t>
      </w:r>
      <w:r w:rsidRPr="00C60CCB">
        <w:rPr>
          <w:rFonts w:ascii="宋体" w:hAnsi="宋体" w:cs="Times New Roman" w:hint="eastAsia"/>
          <w:b/>
          <w:bCs/>
          <w:sz w:val="24"/>
          <w:szCs w:val="24"/>
        </w:rPr>
        <w:t>用</w:t>
      </w:r>
      <w:r>
        <w:rPr>
          <w:rFonts w:ascii="宋体" w:hAnsi="宋体" w:cs="Times New Roman" w:hint="eastAsia"/>
          <w:b/>
          <w:bCs/>
          <w:sz w:val="24"/>
          <w:szCs w:val="24"/>
        </w:rPr>
        <w:t>非中</w:t>
      </w:r>
      <w:r w:rsidRPr="00C60CCB">
        <w:rPr>
          <w:rFonts w:ascii="宋体" w:hAnsi="宋体" w:cs="Times New Roman" w:hint="eastAsia"/>
          <w:b/>
          <w:bCs/>
          <w:sz w:val="24"/>
          <w:szCs w:val="24"/>
        </w:rPr>
        <w:t>文撰写学位论文的适用对象</w:t>
      </w:r>
      <w:r>
        <w:rPr>
          <w:rFonts w:ascii="宋体" w:hAnsi="宋体" w:cs="Times New Roman" w:hint="eastAsia"/>
          <w:b/>
          <w:bCs/>
          <w:sz w:val="24"/>
          <w:szCs w:val="24"/>
        </w:rPr>
        <w:t>。</w:t>
      </w:r>
      <w:r w:rsidRPr="00B0220C">
        <w:rPr>
          <w:rFonts w:ascii="宋体" w:hAnsi="宋体" w:cs="Times New Roman" w:hint="eastAsia"/>
          <w:bCs/>
          <w:sz w:val="24"/>
          <w:szCs w:val="24"/>
        </w:rPr>
        <w:t>以往</w:t>
      </w:r>
      <w:r>
        <w:rPr>
          <w:rFonts w:ascii="宋体" w:hAnsi="宋体" w:cs="Times New Roman" w:hint="eastAsia"/>
          <w:bCs/>
          <w:sz w:val="24"/>
          <w:szCs w:val="24"/>
        </w:rPr>
        <w:t>规定</w:t>
      </w:r>
      <w:r w:rsidRPr="00B0220C">
        <w:rPr>
          <w:rFonts w:ascii="宋体" w:hAnsi="宋体" w:cs="Times New Roman" w:hint="eastAsia"/>
          <w:bCs/>
          <w:sz w:val="24"/>
          <w:szCs w:val="24"/>
        </w:rPr>
        <w:t>只允许外语专业学生用非中文撰写，留学生如要使用非中文撰写学位论文，须事先经学位评定分委员会和研究生院批准。考虑到国际化的需要，</w:t>
      </w:r>
      <w:r>
        <w:rPr>
          <w:rFonts w:ascii="宋体" w:hAnsi="宋体" w:cs="Times New Roman" w:hint="eastAsia"/>
          <w:bCs/>
          <w:sz w:val="24"/>
          <w:szCs w:val="24"/>
        </w:rPr>
        <w:t>现</w:t>
      </w:r>
      <w:r w:rsidRPr="00B0220C">
        <w:rPr>
          <w:rFonts w:ascii="宋体" w:hAnsi="宋体" w:cs="Times New Roman" w:hint="eastAsia"/>
          <w:bCs/>
          <w:sz w:val="24"/>
          <w:szCs w:val="24"/>
        </w:rPr>
        <w:t>调整为</w:t>
      </w:r>
      <w:r w:rsidRPr="00184128">
        <w:rPr>
          <w:rFonts w:ascii="宋体" w:hAnsi="宋体" w:cs="Times New Roman" w:hint="eastAsia"/>
          <w:bCs/>
          <w:sz w:val="24"/>
          <w:szCs w:val="24"/>
        </w:rPr>
        <w:t>对留学生和全英文项目学生直接放开允许用英文撰写论文，对其他需要用非中文撰写论文的情况，应事先经分委员会批准报研究生院备案。</w:t>
      </w:r>
      <w:r>
        <w:rPr>
          <w:rFonts w:ascii="宋体" w:hAnsi="宋体" w:cs="Times New Roman" w:hint="eastAsia"/>
          <w:bCs/>
          <w:sz w:val="24"/>
          <w:szCs w:val="24"/>
        </w:rPr>
        <w:t>同时，</w:t>
      </w:r>
      <w:r w:rsidRPr="00B0220C">
        <w:rPr>
          <w:rFonts w:ascii="宋体" w:hAnsi="宋体" w:cs="Times New Roman" w:hint="eastAsia"/>
          <w:bCs/>
          <w:sz w:val="24"/>
          <w:szCs w:val="24"/>
        </w:rPr>
        <w:t>对要求附上的</w:t>
      </w:r>
      <w:r w:rsidRPr="00AD0FEA">
        <w:rPr>
          <w:rFonts w:ascii="宋体" w:hAnsi="宋体" w:cs="Times New Roman" w:hint="eastAsia"/>
          <w:bCs/>
          <w:sz w:val="24"/>
          <w:szCs w:val="24"/>
        </w:rPr>
        <w:t>详细中文摘要</w:t>
      </w:r>
      <w:r>
        <w:rPr>
          <w:rFonts w:ascii="宋体" w:hAnsi="宋体" w:cs="Times New Roman" w:hint="eastAsia"/>
          <w:bCs/>
          <w:sz w:val="24"/>
          <w:szCs w:val="24"/>
        </w:rPr>
        <w:t>作字数的规定。</w:t>
      </w:r>
      <w:r w:rsidRPr="00E67645">
        <w:rPr>
          <w:rFonts w:ascii="宋体" w:hAnsi="宋体" w:cs="Times New Roman" w:hint="eastAsia"/>
          <w:bCs/>
          <w:sz w:val="24"/>
          <w:szCs w:val="24"/>
        </w:rPr>
        <w:t>（见第三十一条）</w:t>
      </w:r>
    </w:p>
    <w:p w:rsidR="007B6D53" w:rsidRPr="00C60CCB" w:rsidRDefault="007B6D53" w:rsidP="007B6D53">
      <w:pPr>
        <w:spacing w:beforeLines="50" w:before="156" w:line="400" w:lineRule="exact"/>
        <w:ind w:firstLineChars="200" w:firstLine="482"/>
        <w:rPr>
          <w:b/>
          <w:sz w:val="24"/>
          <w:szCs w:val="24"/>
        </w:rPr>
      </w:pPr>
      <w:r>
        <w:rPr>
          <w:rFonts w:hint="eastAsia"/>
          <w:b/>
          <w:sz w:val="24"/>
          <w:szCs w:val="24"/>
        </w:rPr>
        <w:t>八</w:t>
      </w:r>
      <w:r w:rsidRPr="00467E5B">
        <w:rPr>
          <w:rFonts w:hint="eastAsia"/>
          <w:b/>
          <w:sz w:val="24"/>
          <w:szCs w:val="24"/>
        </w:rPr>
        <w:t>、</w:t>
      </w:r>
      <w:r>
        <w:rPr>
          <w:rFonts w:hint="eastAsia"/>
          <w:b/>
          <w:sz w:val="24"/>
          <w:szCs w:val="24"/>
        </w:rPr>
        <w:t>对名誉博士学位授予对象的条件不作赘述</w:t>
      </w:r>
      <w:r w:rsidRPr="00E31C9F">
        <w:rPr>
          <w:rFonts w:hint="eastAsia"/>
          <w:sz w:val="24"/>
          <w:szCs w:val="24"/>
        </w:rPr>
        <w:t>，直接以“依据国务院学位委员会关于印发《关于授予境外人士名誉博士学位暂行规定》的通知（学位</w:t>
      </w:r>
      <w:r w:rsidRPr="00E31C9F">
        <w:rPr>
          <w:rFonts w:hint="eastAsia"/>
          <w:sz w:val="24"/>
          <w:szCs w:val="24"/>
        </w:rPr>
        <w:t>[2010]14</w:t>
      </w:r>
      <w:r w:rsidRPr="00E31C9F">
        <w:rPr>
          <w:rFonts w:hint="eastAsia"/>
          <w:sz w:val="24"/>
          <w:szCs w:val="24"/>
        </w:rPr>
        <w:t>号）的要求”加以</w:t>
      </w:r>
      <w:r>
        <w:rPr>
          <w:rFonts w:hint="eastAsia"/>
          <w:sz w:val="24"/>
          <w:szCs w:val="24"/>
        </w:rPr>
        <w:t>表述</w:t>
      </w:r>
      <w:r w:rsidRPr="00E31C9F">
        <w:rPr>
          <w:rFonts w:hint="eastAsia"/>
          <w:sz w:val="24"/>
          <w:szCs w:val="24"/>
        </w:rPr>
        <w:t>。</w:t>
      </w:r>
      <w:r>
        <w:rPr>
          <w:rFonts w:hint="eastAsia"/>
          <w:sz w:val="24"/>
          <w:szCs w:val="24"/>
        </w:rPr>
        <w:t>（</w:t>
      </w:r>
      <w:r w:rsidRPr="00683297">
        <w:rPr>
          <w:rFonts w:hint="eastAsia"/>
          <w:sz w:val="24"/>
          <w:szCs w:val="24"/>
        </w:rPr>
        <w:t>见第二十三条</w:t>
      </w:r>
      <w:r>
        <w:rPr>
          <w:rFonts w:hint="eastAsia"/>
          <w:sz w:val="24"/>
          <w:szCs w:val="24"/>
        </w:rPr>
        <w:t>）</w:t>
      </w:r>
    </w:p>
    <w:p w:rsidR="00F0097F" w:rsidRDefault="007B6D53" w:rsidP="006B3C25">
      <w:pPr>
        <w:spacing w:beforeLines="50" w:before="156" w:line="400" w:lineRule="exact"/>
        <w:ind w:firstLineChars="200" w:firstLine="482"/>
        <w:jc w:val="left"/>
      </w:pPr>
      <w:r>
        <w:rPr>
          <w:rFonts w:ascii="宋体" w:hAnsi="宋体" w:cs="Times New Roman" w:hint="eastAsia"/>
          <w:b/>
          <w:bCs/>
          <w:sz w:val="24"/>
          <w:szCs w:val="24"/>
        </w:rPr>
        <w:t>九</w:t>
      </w:r>
      <w:r w:rsidRPr="00467E5B">
        <w:rPr>
          <w:rFonts w:ascii="宋体" w:hAnsi="宋体" w:cs="Times New Roman" w:hint="eastAsia"/>
          <w:b/>
          <w:bCs/>
          <w:sz w:val="24"/>
          <w:szCs w:val="24"/>
        </w:rPr>
        <w:t>、</w:t>
      </w:r>
      <w:r>
        <w:rPr>
          <w:rFonts w:ascii="宋体" w:hAnsi="宋体" w:cs="Times New Roman" w:hint="eastAsia"/>
          <w:b/>
          <w:bCs/>
          <w:sz w:val="24"/>
          <w:szCs w:val="24"/>
        </w:rPr>
        <w:t>增加可依法申请行政复议或行政诉讼的内容</w:t>
      </w:r>
      <w:r w:rsidRPr="00DA4BE3">
        <w:rPr>
          <w:rFonts w:ascii="宋体" w:hAnsi="宋体" w:cs="Times New Roman" w:hint="eastAsia"/>
          <w:bCs/>
          <w:sz w:val="24"/>
          <w:szCs w:val="24"/>
        </w:rPr>
        <w:t>，“</w:t>
      </w:r>
      <w:r>
        <w:rPr>
          <w:rFonts w:ascii="宋体" w:hAnsi="宋体" w:hint="eastAsia"/>
          <w:sz w:val="24"/>
        </w:rPr>
        <w:t>学位申请人对学校作出的复核决定不服，可以依照《中华人民共和国行政复议法》</w:t>
      </w:r>
      <w:r w:rsidRPr="00E31C9F">
        <w:rPr>
          <w:rFonts w:ascii="宋体" w:hAnsi="宋体" w:hint="eastAsia"/>
          <w:sz w:val="24"/>
        </w:rPr>
        <w:t>申请行政复议或依法提起行政诉讼。”</w:t>
      </w:r>
      <w:r>
        <w:rPr>
          <w:rFonts w:ascii="宋体" w:hAnsi="宋体" w:hint="eastAsia"/>
          <w:sz w:val="24"/>
        </w:rPr>
        <w:t>（见第三十条</w:t>
      </w:r>
      <w:r>
        <w:rPr>
          <w:rFonts w:ascii="宋体" w:hAnsi="宋体"/>
          <w:sz w:val="24"/>
        </w:rPr>
        <w:t>）</w:t>
      </w:r>
      <w:bookmarkStart w:id="0" w:name="_GoBack"/>
      <w:bookmarkEnd w:id="0"/>
    </w:p>
    <w:sectPr w:rsidR="00F0097F" w:rsidSect="00BF7FEE">
      <w:footerReference w:type="default" r:id="rId7"/>
      <w:pgSz w:w="11906" w:h="16838"/>
      <w:pgMar w:top="1440" w:right="1800" w:bottom="1440" w:left="1800" w:header="851" w:footer="5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B42" w:rsidRDefault="00FC3B42">
      <w:r>
        <w:separator/>
      </w:r>
    </w:p>
  </w:endnote>
  <w:endnote w:type="continuationSeparator" w:id="0">
    <w:p w:rsidR="00FC3B42" w:rsidRDefault="00FC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171184"/>
      <w:docPartObj>
        <w:docPartGallery w:val="Page Numbers (Bottom of Page)"/>
        <w:docPartUnique/>
      </w:docPartObj>
    </w:sdtPr>
    <w:sdtEndPr/>
    <w:sdtContent>
      <w:p w:rsidR="00E76E77" w:rsidRDefault="007B6D53">
        <w:pPr>
          <w:pStyle w:val="a9"/>
          <w:jc w:val="center"/>
        </w:pPr>
        <w:r>
          <w:fldChar w:fldCharType="begin"/>
        </w:r>
        <w:r>
          <w:instrText>PAGE   \* MERGEFORMAT</w:instrText>
        </w:r>
        <w:r>
          <w:fldChar w:fldCharType="separate"/>
        </w:r>
        <w:r w:rsidR="006B3C25" w:rsidRPr="006B3C25">
          <w:rPr>
            <w:noProof/>
            <w:lang w:val="zh-CN"/>
          </w:rPr>
          <w:t>1</w:t>
        </w:r>
        <w:r>
          <w:fldChar w:fldCharType="end"/>
        </w:r>
      </w:p>
    </w:sdtContent>
  </w:sdt>
  <w:p w:rsidR="00E76E77" w:rsidRDefault="00FC3B4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B42" w:rsidRDefault="00FC3B42">
      <w:r>
        <w:separator/>
      </w:r>
    </w:p>
  </w:footnote>
  <w:footnote w:type="continuationSeparator" w:id="0">
    <w:p w:rsidR="00FC3B42" w:rsidRDefault="00FC3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E2D5F"/>
    <w:multiLevelType w:val="hybridMultilevel"/>
    <w:tmpl w:val="BE5EABA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53"/>
    <w:rsid w:val="002D7D20"/>
    <w:rsid w:val="00475B25"/>
    <w:rsid w:val="00622A42"/>
    <w:rsid w:val="006B3C25"/>
    <w:rsid w:val="007365DA"/>
    <w:rsid w:val="00757FB6"/>
    <w:rsid w:val="007B6D53"/>
    <w:rsid w:val="00817348"/>
    <w:rsid w:val="008C5F6C"/>
    <w:rsid w:val="00B34106"/>
    <w:rsid w:val="00C2181E"/>
    <w:rsid w:val="00D72987"/>
    <w:rsid w:val="00F0097F"/>
    <w:rsid w:val="00F1769C"/>
    <w:rsid w:val="00FA0428"/>
    <w:rsid w:val="00FC3B42"/>
    <w:rsid w:val="00FE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E8C49-C085-45F6-8900-BF9D509B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D53"/>
    <w:pPr>
      <w:widowControl w:val="0"/>
      <w:jc w:val="both"/>
    </w:pPr>
    <w:rPr>
      <w:rFonts w:asciiTheme="minorHAnsi" w:eastAsiaTheme="minorEastAsia" w:hAnsiTheme="minorHAnsi" w:cstheme="minorBidi"/>
      <w:kern w:val="2"/>
      <w:sz w:val="21"/>
      <w:szCs w:val="22"/>
    </w:rPr>
  </w:style>
  <w:style w:type="paragraph" w:styleId="1">
    <w:name w:val="heading 1"/>
    <w:basedOn w:val="a"/>
    <w:link w:val="1Char"/>
    <w:qFormat/>
    <w:locked/>
    <w:rsid w:val="00B34106"/>
    <w:pPr>
      <w:keepNext/>
      <w:keepLines/>
      <w:spacing w:before="340" w:after="330" w:line="578" w:lineRule="auto"/>
      <w:outlineLvl w:val="0"/>
    </w:pPr>
    <w:rPr>
      <w:rFonts w:cs="宋体"/>
      <w:b/>
      <w:bCs/>
      <w:kern w:val="44"/>
      <w:sz w:val="44"/>
      <w:szCs w:val="44"/>
    </w:rPr>
  </w:style>
  <w:style w:type="paragraph" w:styleId="2">
    <w:name w:val="heading 2"/>
    <w:basedOn w:val="a"/>
    <w:link w:val="2Char"/>
    <w:semiHidden/>
    <w:unhideWhenUsed/>
    <w:qFormat/>
    <w:locked/>
    <w:rsid w:val="00B341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semiHidden/>
    <w:unhideWhenUsed/>
    <w:qFormat/>
    <w:locked/>
    <w:rsid w:val="00B34106"/>
    <w:pPr>
      <w:keepNext/>
      <w:keepLines/>
      <w:spacing w:before="260" w:after="260" w:line="416" w:lineRule="auto"/>
      <w:outlineLvl w:val="2"/>
    </w:pPr>
    <w:rPr>
      <w:rFonts w:cs="宋体"/>
      <w:b/>
      <w:bCs/>
      <w:sz w:val="32"/>
      <w:szCs w:val="32"/>
    </w:rPr>
  </w:style>
  <w:style w:type="paragraph" w:styleId="4">
    <w:name w:val="heading 4"/>
    <w:basedOn w:val="a"/>
    <w:link w:val="4Char"/>
    <w:semiHidden/>
    <w:unhideWhenUsed/>
    <w:qFormat/>
    <w:locked/>
    <w:rsid w:val="00B3410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link w:val="5Char"/>
    <w:semiHidden/>
    <w:unhideWhenUsed/>
    <w:qFormat/>
    <w:locked/>
    <w:rsid w:val="00B34106"/>
    <w:pPr>
      <w:keepNext/>
      <w:keepLines/>
      <w:spacing w:before="280" w:after="290" w:line="376" w:lineRule="auto"/>
      <w:outlineLvl w:val="4"/>
    </w:pPr>
    <w:rPr>
      <w:rFonts w:cs="宋体"/>
      <w:b/>
      <w:bCs/>
      <w:sz w:val="28"/>
      <w:szCs w:val="28"/>
    </w:rPr>
  </w:style>
  <w:style w:type="paragraph" w:styleId="6">
    <w:name w:val="heading 6"/>
    <w:basedOn w:val="a"/>
    <w:link w:val="6Char"/>
    <w:semiHidden/>
    <w:unhideWhenUsed/>
    <w:qFormat/>
    <w:locked/>
    <w:rsid w:val="00B34106"/>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34106"/>
    <w:rPr>
      <w:rFonts w:cs="宋体"/>
      <w:b/>
      <w:bCs/>
      <w:kern w:val="44"/>
      <w:sz w:val="44"/>
      <w:szCs w:val="44"/>
    </w:rPr>
  </w:style>
  <w:style w:type="character" w:customStyle="1" w:styleId="2Char">
    <w:name w:val="标题 2 Char"/>
    <w:link w:val="2"/>
    <w:semiHidden/>
    <w:rsid w:val="00B34106"/>
    <w:rPr>
      <w:rFonts w:asciiTheme="majorHAnsi" w:eastAsiaTheme="majorEastAsia" w:hAnsiTheme="majorHAnsi" w:cstheme="majorBidi"/>
      <w:b/>
      <w:bCs/>
      <w:kern w:val="2"/>
      <w:sz w:val="32"/>
      <w:szCs w:val="32"/>
    </w:rPr>
  </w:style>
  <w:style w:type="character" w:customStyle="1" w:styleId="3Char">
    <w:name w:val="标题 3 Char"/>
    <w:link w:val="3"/>
    <w:semiHidden/>
    <w:rsid w:val="00B34106"/>
    <w:rPr>
      <w:rFonts w:cs="宋体"/>
      <w:b/>
      <w:bCs/>
      <w:kern w:val="2"/>
      <w:sz w:val="32"/>
      <w:szCs w:val="32"/>
    </w:rPr>
  </w:style>
  <w:style w:type="character" w:customStyle="1" w:styleId="4Char">
    <w:name w:val="标题 4 Char"/>
    <w:link w:val="4"/>
    <w:semiHidden/>
    <w:rsid w:val="00B34106"/>
    <w:rPr>
      <w:rFonts w:asciiTheme="majorHAnsi" w:eastAsiaTheme="majorEastAsia" w:hAnsiTheme="majorHAnsi" w:cstheme="majorBidi"/>
      <w:b/>
      <w:bCs/>
      <w:kern w:val="2"/>
      <w:sz w:val="28"/>
      <w:szCs w:val="28"/>
    </w:rPr>
  </w:style>
  <w:style w:type="character" w:customStyle="1" w:styleId="5Char">
    <w:name w:val="标题 5 Char"/>
    <w:link w:val="5"/>
    <w:semiHidden/>
    <w:rsid w:val="00B34106"/>
    <w:rPr>
      <w:rFonts w:cs="宋体"/>
      <w:b/>
      <w:bCs/>
      <w:kern w:val="2"/>
      <w:sz w:val="28"/>
      <w:szCs w:val="28"/>
    </w:rPr>
  </w:style>
  <w:style w:type="character" w:customStyle="1" w:styleId="6Char">
    <w:name w:val="标题 6 Char"/>
    <w:link w:val="6"/>
    <w:semiHidden/>
    <w:rsid w:val="00B34106"/>
    <w:rPr>
      <w:rFonts w:asciiTheme="majorHAnsi" w:eastAsiaTheme="majorEastAsia" w:hAnsiTheme="majorHAnsi" w:cstheme="majorBidi"/>
      <w:b/>
      <w:bCs/>
      <w:kern w:val="2"/>
      <w:sz w:val="24"/>
      <w:szCs w:val="24"/>
    </w:rPr>
  </w:style>
  <w:style w:type="character" w:styleId="a3">
    <w:name w:val="Strong"/>
    <w:qFormat/>
    <w:locked/>
    <w:rsid w:val="00B34106"/>
    <w:rPr>
      <w:b/>
      <w:bCs/>
    </w:rPr>
  </w:style>
  <w:style w:type="character" w:styleId="a4">
    <w:name w:val="Emphasis"/>
    <w:qFormat/>
    <w:locked/>
    <w:rsid w:val="00B34106"/>
    <w:rPr>
      <w:i/>
      <w:iCs/>
    </w:rPr>
  </w:style>
  <w:style w:type="paragraph" w:styleId="a5">
    <w:name w:val="caption"/>
    <w:basedOn w:val="a"/>
    <w:next w:val="a"/>
    <w:semiHidden/>
    <w:unhideWhenUsed/>
    <w:qFormat/>
    <w:locked/>
    <w:rsid w:val="00B34106"/>
    <w:rPr>
      <w:rFonts w:asciiTheme="majorHAnsi" w:eastAsia="黑体" w:hAnsiTheme="majorHAnsi" w:cstheme="majorBidi"/>
      <w:sz w:val="20"/>
      <w:szCs w:val="20"/>
    </w:rPr>
  </w:style>
  <w:style w:type="paragraph" w:styleId="a6">
    <w:name w:val="Title"/>
    <w:basedOn w:val="a"/>
    <w:next w:val="a"/>
    <w:link w:val="Char"/>
    <w:qFormat/>
    <w:locked/>
    <w:rsid w:val="00B34106"/>
    <w:pPr>
      <w:spacing w:before="240" w:after="60"/>
      <w:jc w:val="center"/>
      <w:outlineLvl w:val="0"/>
    </w:pPr>
    <w:rPr>
      <w:rFonts w:asciiTheme="majorHAnsi" w:hAnsiTheme="majorHAnsi" w:cstheme="majorBidi"/>
      <w:b/>
      <w:bCs/>
      <w:sz w:val="32"/>
      <w:szCs w:val="32"/>
    </w:rPr>
  </w:style>
  <w:style w:type="character" w:customStyle="1" w:styleId="Char">
    <w:name w:val="标题 Char"/>
    <w:link w:val="a6"/>
    <w:rsid w:val="00B34106"/>
    <w:rPr>
      <w:rFonts w:asciiTheme="majorHAnsi" w:hAnsiTheme="majorHAnsi" w:cstheme="majorBidi"/>
      <w:b/>
      <w:bCs/>
      <w:kern w:val="2"/>
      <w:sz w:val="32"/>
      <w:szCs w:val="32"/>
    </w:rPr>
  </w:style>
  <w:style w:type="paragraph" w:styleId="a7">
    <w:name w:val="List Paragraph"/>
    <w:basedOn w:val="a"/>
    <w:uiPriority w:val="34"/>
    <w:qFormat/>
    <w:rsid w:val="00B34106"/>
    <w:pPr>
      <w:ind w:firstLineChars="200" w:firstLine="420"/>
    </w:pPr>
  </w:style>
  <w:style w:type="paragraph" w:styleId="TOC">
    <w:name w:val="TOC Heading"/>
    <w:basedOn w:val="1"/>
    <w:next w:val="a"/>
    <w:uiPriority w:val="39"/>
    <w:semiHidden/>
    <w:unhideWhenUsed/>
    <w:qFormat/>
    <w:rsid w:val="00B34106"/>
    <w:pPr>
      <w:outlineLvl w:val="9"/>
    </w:pPr>
    <w:rPr>
      <w:rFonts w:cstheme="minorBidi"/>
    </w:rPr>
  </w:style>
  <w:style w:type="paragraph" w:customStyle="1" w:styleId="10">
    <w:name w:val="样式1"/>
    <w:basedOn w:val="a8"/>
    <w:link w:val="1Char0"/>
    <w:autoRedefine/>
    <w:qFormat/>
    <w:rsid w:val="007365DA"/>
    <w:rPr>
      <w:kern w:val="0"/>
      <w:sz w:val="24"/>
      <w:szCs w:val="20"/>
      <w:lang w:val="x-none" w:eastAsia="x-none"/>
    </w:rPr>
  </w:style>
  <w:style w:type="character" w:customStyle="1" w:styleId="1Char0">
    <w:name w:val="样式1 Char"/>
    <w:basedOn w:val="Char0"/>
    <w:link w:val="10"/>
    <w:rsid w:val="007365DA"/>
    <w:rPr>
      <w:sz w:val="24"/>
      <w:szCs w:val="18"/>
      <w:lang w:val="x-none" w:eastAsia="x-none"/>
    </w:rPr>
  </w:style>
  <w:style w:type="paragraph" w:styleId="a8">
    <w:name w:val="Balloon Text"/>
    <w:basedOn w:val="a"/>
    <w:link w:val="Char0"/>
    <w:uiPriority w:val="99"/>
    <w:semiHidden/>
    <w:unhideWhenUsed/>
    <w:rsid w:val="007365DA"/>
    <w:rPr>
      <w:sz w:val="18"/>
      <w:szCs w:val="18"/>
    </w:rPr>
  </w:style>
  <w:style w:type="character" w:customStyle="1" w:styleId="Char0">
    <w:name w:val="批注框文本 Char"/>
    <w:basedOn w:val="a0"/>
    <w:link w:val="a8"/>
    <w:uiPriority w:val="99"/>
    <w:semiHidden/>
    <w:rsid w:val="007365DA"/>
    <w:rPr>
      <w:sz w:val="18"/>
      <w:szCs w:val="18"/>
    </w:rPr>
  </w:style>
  <w:style w:type="paragraph" w:styleId="a9">
    <w:name w:val="footer"/>
    <w:basedOn w:val="a"/>
    <w:link w:val="Char1"/>
    <w:uiPriority w:val="99"/>
    <w:unhideWhenUsed/>
    <w:rsid w:val="007B6D53"/>
    <w:pPr>
      <w:tabs>
        <w:tab w:val="center" w:pos="4153"/>
        <w:tab w:val="right" w:pos="8306"/>
      </w:tabs>
      <w:snapToGrid w:val="0"/>
      <w:jc w:val="left"/>
    </w:pPr>
    <w:rPr>
      <w:sz w:val="18"/>
      <w:szCs w:val="18"/>
    </w:rPr>
  </w:style>
  <w:style w:type="character" w:customStyle="1" w:styleId="Char1">
    <w:name w:val="页脚 Char"/>
    <w:basedOn w:val="a0"/>
    <w:link w:val="a9"/>
    <w:uiPriority w:val="99"/>
    <w:rsid w:val="007B6D5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姜友芬</dc:creator>
  <cp:lastModifiedBy>陈仁波</cp:lastModifiedBy>
  <cp:revision>3</cp:revision>
  <dcterms:created xsi:type="dcterms:W3CDTF">2016-12-20T09:17:00Z</dcterms:created>
  <dcterms:modified xsi:type="dcterms:W3CDTF">2016-12-27T12:26:00Z</dcterms:modified>
</cp:coreProperties>
</file>